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9" w:rsidRDefault="00072319"/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1560"/>
        <w:gridCol w:w="1701"/>
        <w:gridCol w:w="6662"/>
      </w:tblGrid>
      <w:tr w:rsidR="00C0577E" w:rsidTr="004334CF">
        <w:trPr>
          <w:trHeight w:val="1828"/>
        </w:trPr>
        <w:tc>
          <w:tcPr>
            <w:tcW w:w="4644" w:type="dxa"/>
            <w:gridSpan w:val="2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33CFA7A" wp14:editId="2561E314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5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Hassas Görev Tanımı :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5"/>
          </w:tcPr>
          <w:p w:rsidR="00C0577E" w:rsidRPr="00C0577E" w:rsidRDefault="00C90FAC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İdari Mali İşler</w:t>
            </w:r>
          </w:p>
        </w:tc>
      </w:tr>
      <w:tr w:rsidR="008E12C1" w:rsidRPr="00F55016" w:rsidTr="007C431A">
        <w:tc>
          <w:tcPr>
            <w:tcW w:w="450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701" w:type="dxa"/>
            <w:gridSpan w:val="2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701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7C431A">
        <w:tc>
          <w:tcPr>
            <w:tcW w:w="4503" w:type="dxa"/>
          </w:tcPr>
          <w:p w:rsidR="00061FA0" w:rsidRPr="0037307F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* Giderlerin kanun, tüzük, kararname ve yönetmeliklere uygun olmasını sağlamak</w:t>
            </w:r>
          </w:p>
          <w:p w:rsidR="00061FA0" w:rsidRPr="0037307F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* Bütün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Mali İ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şlemlerde maddi hata bulunmamasını sağlamak</w:t>
            </w:r>
          </w:p>
          <w:p w:rsidR="00061FA0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* Akademik Personelin e</w:t>
            </w:r>
            <w:r w:rsidR="00D567CA">
              <w:rPr>
                <w:rFonts w:ascii="Times New Roman" w:hAnsi="Times New Roman"/>
                <w:sz w:val="16"/>
                <w:szCs w:val="16"/>
              </w:rPr>
              <w:t>k ders sınav ücretlerini yapmak</w:t>
            </w:r>
          </w:p>
          <w:p w:rsidR="00061FA0" w:rsidRPr="0037307F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* Akademik ve idari personelin İkinci Öğretim mesaisinin hesaplanmasını yapmak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ve belgelerini</w:t>
            </w:r>
          </w:p>
          <w:p w:rsidR="00061FA0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* Tüm personelin belgelerini kontrol ettikten sonra geçici veya sürekli görev yolluğu harcırahlarını yapmak ve Strateji Geliştirme Dairesi Başkanlığına göndermek</w:t>
            </w:r>
          </w:p>
          <w:p w:rsidR="007C431A" w:rsidRPr="0037307F" w:rsidRDefault="007C431A" w:rsidP="00061FA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* Tüketim ve demirbaş (eğitim malzemeleri, kırtasiye, bina bakım ve onarım malzemeleri, ahşap ve metal malzemelerin, elektronik donanım ve teknolojik malzemeleri, makine ve teçhizat alım ve bakımları vb.) malzemelerinin ihale ile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satın alım işlemlerini yapmak.</w:t>
            </w:r>
          </w:p>
          <w:p w:rsidR="00CA1315" w:rsidRPr="00F55016" w:rsidRDefault="00CA1315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A584B" w:rsidRDefault="002A584B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AKYÜREK</w:t>
            </w:r>
          </w:p>
          <w:p w:rsidR="00AA0196" w:rsidRDefault="00061FA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İlhan BİŞGİN</w:t>
            </w:r>
          </w:p>
          <w:p w:rsidR="00370041" w:rsidRPr="00F55016" w:rsidRDefault="00370041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12C1" w:rsidRPr="0084627F" w:rsidRDefault="0084627F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7C431A">
              <w:rPr>
                <w:rFonts w:ascii="Times New Roman" w:hAnsi="Times New Roman" w:cs="Times New Roman"/>
                <w:sz w:val="16"/>
                <w:szCs w:val="16"/>
              </w:rPr>
              <w:t>sebebiye</w:t>
            </w:r>
            <w:bookmarkStart w:id="0" w:name="_GoBack"/>
            <w:bookmarkEnd w:id="0"/>
            <w:r w:rsidR="007C431A">
              <w:rPr>
                <w:rFonts w:ascii="Times New Roman" w:hAnsi="Times New Roman" w:cs="Times New Roman"/>
                <w:sz w:val="16"/>
                <w:szCs w:val="16"/>
              </w:rPr>
              <w:t>t verme riski</w:t>
            </w:r>
          </w:p>
        </w:tc>
        <w:tc>
          <w:tcPr>
            <w:tcW w:w="6662" w:type="dxa"/>
          </w:tcPr>
          <w:p w:rsidR="007C431A" w:rsidRDefault="007C431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*Birimde görevlendirilen Akademik Personelin Ek ders Beyanlarının zamanında kontrolünün sağlanarak, Personelin Görevli,İzinli olduğu günlere dikkat edilmesi</w:t>
            </w:r>
          </w:p>
          <w:p w:rsidR="007C431A" w:rsidRDefault="007C431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*Birimin ihtiyacı doğrultusunda satın alınan malzemelerin</w:t>
            </w:r>
            <w:r w:rsidR="00AF1C73">
              <w:rPr>
                <w:rFonts w:ascii="Times New Roman" w:hAnsi="Times New Roman" w:cs="Times New Roman"/>
                <w:sz w:val="16"/>
                <w:szCs w:val="16"/>
              </w:rPr>
              <w:t xml:space="preserve"> Teknik Şartnamaelere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uygunluğunun kontrol edilmesi,</w:t>
            </w:r>
          </w:p>
          <w:p w:rsidR="007C431A" w:rsidRDefault="007C431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*Piyasa Fiyat Araştırmasının titizlikle yürütülmesi</w:t>
            </w:r>
          </w:p>
          <w:p w:rsidR="0063522A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*İlgili personelin çeşitli eğitim programlarına katılımının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 xml:space="preserve"> sağlanması suretiyle mevzuata ha</w:t>
            </w:r>
            <w:r w:rsidR="00687837">
              <w:rPr>
                <w:rFonts w:ascii="Times New Roman" w:hAnsi="Times New Roman" w:cs="Times New Roman"/>
                <w:sz w:val="16"/>
                <w:szCs w:val="16"/>
              </w:rPr>
              <w:t xml:space="preserve">kim 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>olması hususunun gözetilmesi</w:t>
            </w:r>
          </w:p>
          <w:p w:rsidR="00744D96" w:rsidRPr="00F5501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*Mevzuat değişikliklerinin takip edilmesi</w:t>
            </w:r>
          </w:p>
        </w:tc>
      </w:tr>
      <w:tr w:rsidR="008E12C1" w:rsidRPr="00F55016" w:rsidTr="007C431A">
        <w:tc>
          <w:tcPr>
            <w:tcW w:w="4503" w:type="dxa"/>
          </w:tcPr>
          <w:p w:rsidR="008E12C1" w:rsidRPr="00F55016" w:rsidRDefault="00B26717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17">
              <w:rPr>
                <w:rFonts w:ascii="Times New Roman" w:hAnsi="Times New Roman" w:cs="Times New Roman"/>
                <w:sz w:val="16"/>
                <w:szCs w:val="16"/>
              </w:rPr>
              <w:t>İç kontrol standartlarına uyum eylem pla</w:t>
            </w:r>
            <w:r w:rsidR="007C431A">
              <w:rPr>
                <w:rFonts w:ascii="Times New Roman" w:hAnsi="Times New Roman" w:cs="Times New Roman"/>
                <w:sz w:val="16"/>
                <w:szCs w:val="16"/>
              </w:rPr>
              <w:t>nı kapsamında yapılan çalışmalar</w:t>
            </w:r>
          </w:p>
        </w:tc>
        <w:tc>
          <w:tcPr>
            <w:tcW w:w="1701" w:type="dxa"/>
            <w:gridSpan w:val="2"/>
          </w:tcPr>
          <w:p w:rsidR="008E12C1" w:rsidRDefault="007C431A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AKYÜREK</w:t>
            </w:r>
          </w:p>
          <w:p w:rsidR="007C431A" w:rsidRPr="00F55016" w:rsidRDefault="007C431A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İlhan BİŞGİN</w:t>
            </w:r>
          </w:p>
        </w:tc>
        <w:tc>
          <w:tcPr>
            <w:tcW w:w="1701" w:type="dxa"/>
          </w:tcPr>
          <w:p w:rsidR="007A6F5A" w:rsidRPr="00F55016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Zaman kaybı</w:t>
            </w:r>
          </w:p>
        </w:tc>
        <w:tc>
          <w:tcPr>
            <w:tcW w:w="6662" w:type="dxa"/>
          </w:tcPr>
          <w:p w:rsidR="008E12C1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B26717" w:rsidRPr="00B26717">
              <w:rPr>
                <w:rFonts w:ascii="Times New Roman" w:hAnsi="Times New Roman" w:cs="Times New Roman"/>
                <w:sz w:val="16"/>
                <w:szCs w:val="16"/>
              </w:rPr>
              <w:t>İç kontrol standartlarına uyum eylem planı kapsamında yapılan çalışmalar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ın birim bazında takip edilmesi</w:t>
            </w:r>
          </w:p>
          <w:p w:rsidR="007A6F5A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standartları konusunda ilerleme yapamayan birimlere destek verilmesi</w:t>
            </w:r>
          </w:p>
          <w:p w:rsidR="007A6F5A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sistemi izleme araçları geliştirerek</w:t>
            </w:r>
            <w:r w:rsidR="007A465B">
              <w:rPr>
                <w:rFonts w:ascii="Times New Roman" w:hAnsi="Times New Roman" w:cs="Times New Roman"/>
                <w:sz w:val="16"/>
                <w:szCs w:val="16"/>
              </w:rPr>
              <w:t xml:space="preserve"> iç kontrol sisteminin izlemesinin sağlanması</w:t>
            </w:r>
          </w:p>
          <w:p w:rsidR="007A465B" w:rsidRDefault="007A465B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konusunda eğitimler</w:t>
            </w:r>
            <w:r w:rsidR="007C431A">
              <w:rPr>
                <w:rFonts w:ascii="Times New Roman" w:hAnsi="Times New Roman" w:cs="Times New Roman"/>
                <w:sz w:val="16"/>
                <w:szCs w:val="16"/>
              </w:rPr>
              <w:t>e personelin görevlendirilerek bilgilendirilmesi</w:t>
            </w:r>
          </w:p>
          <w:p w:rsidR="007A465B" w:rsidRPr="00F55016" w:rsidRDefault="007A465B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düzenlemelerinin takip edilerek çalışmaların güncellenmesi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BB" w:rsidRDefault="00775BBB" w:rsidP="005F7D25">
      <w:pPr>
        <w:spacing w:after="0" w:line="240" w:lineRule="auto"/>
      </w:pPr>
      <w:r>
        <w:separator/>
      </w:r>
    </w:p>
  </w:endnote>
  <w:endnote w:type="continuationSeparator" w:id="0">
    <w:p w:rsidR="00775BBB" w:rsidRDefault="00775BBB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BB" w:rsidRDefault="00775BBB" w:rsidP="005F7D25">
      <w:pPr>
        <w:spacing w:after="0" w:line="240" w:lineRule="auto"/>
      </w:pPr>
      <w:r>
        <w:separator/>
      </w:r>
    </w:p>
  </w:footnote>
  <w:footnote w:type="continuationSeparator" w:id="0">
    <w:p w:rsidR="00775BBB" w:rsidRDefault="00775BBB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61FA0"/>
    <w:rsid w:val="00072319"/>
    <w:rsid w:val="000A3A1F"/>
    <w:rsid w:val="00271BC1"/>
    <w:rsid w:val="002A584B"/>
    <w:rsid w:val="00370041"/>
    <w:rsid w:val="003A2D5E"/>
    <w:rsid w:val="003E4492"/>
    <w:rsid w:val="003F6934"/>
    <w:rsid w:val="004334CF"/>
    <w:rsid w:val="005F7D25"/>
    <w:rsid w:val="0063522A"/>
    <w:rsid w:val="00687837"/>
    <w:rsid w:val="006C4A5C"/>
    <w:rsid w:val="006D176B"/>
    <w:rsid w:val="0072609F"/>
    <w:rsid w:val="00744D96"/>
    <w:rsid w:val="00775BBB"/>
    <w:rsid w:val="00794B4F"/>
    <w:rsid w:val="007A465B"/>
    <w:rsid w:val="007A6F5A"/>
    <w:rsid w:val="007C431A"/>
    <w:rsid w:val="0084627F"/>
    <w:rsid w:val="008E12C1"/>
    <w:rsid w:val="008E145B"/>
    <w:rsid w:val="009270CE"/>
    <w:rsid w:val="009C4662"/>
    <w:rsid w:val="009E5362"/>
    <w:rsid w:val="00A03F1C"/>
    <w:rsid w:val="00A0592C"/>
    <w:rsid w:val="00A51A9B"/>
    <w:rsid w:val="00AA0196"/>
    <w:rsid w:val="00AA2ECC"/>
    <w:rsid w:val="00AF1C73"/>
    <w:rsid w:val="00B04BF7"/>
    <w:rsid w:val="00B26717"/>
    <w:rsid w:val="00B454D7"/>
    <w:rsid w:val="00BC7AD0"/>
    <w:rsid w:val="00BF35DF"/>
    <w:rsid w:val="00C0577E"/>
    <w:rsid w:val="00C13524"/>
    <w:rsid w:val="00C90FAC"/>
    <w:rsid w:val="00CA1315"/>
    <w:rsid w:val="00CB3936"/>
    <w:rsid w:val="00D36740"/>
    <w:rsid w:val="00D567CA"/>
    <w:rsid w:val="00D95FB1"/>
    <w:rsid w:val="00DC55D7"/>
    <w:rsid w:val="00DD4769"/>
    <w:rsid w:val="00E40257"/>
    <w:rsid w:val="00E8578B"/>
    <w:rsid w:val="00EA70BC"/>
    <w:rsid w:val="00ED098E"/>
    <w:rsid w:val="00F14A02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Gözde</cp:lastModifiedBy>
  <cp:revision>5</cp:revision>
  <cp:lastPrinted>2016-01-14T11:59:00Z</cp:lastPrinted>
  <dcterms:created xsi:type="dcterms:W3CDTF">2016-01-14T11:54:00Z</dcterms:created>
  <dcterms:modified xsi:type="dcterms:W3CDTF">2016-01-15T12:20:00Z</dcterms:modified>
</cp:coreProperties>
</file>