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43A64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7A86CB6" wp14:editId="135F8339">
                  <wp:extent cx="1866900" cy="1440180"/>
                  <wp:effectExtent l="0" t="0" r="0" b="7620"/>
                  <wp:docPr id="2" name="Resim 2" descr="https://www.karabuk.edu.tr/wp-content/themes/kbu/assets/images/logo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520994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BESYO MALİ İŞLER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B50117">
        <w:trPr>
          <w:trHeight w:val="937"/>
        </w:trPr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Mert AYDOĞMUŞ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8E12C1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B50117" w:rsidRDefault="00B50117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personelin </w:t>
            </w:r>
            <w:r w:rsidR="00CF1545" w:rsidRPr="00B50117">
              <w:rPr>
                <w:rFonts w:ascii="Times New Roman" w:hAnsi="Times New Roman" w:cs="Times New Roman"/>
                <w:sz w:val="18"/>
                <w:szCs w:val="18"/>
              </w:rPr>
              <w:t>çeşitli eğitim programlarına katılımının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sağlanması </w:t>
            </w: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suretiyle  mevzuata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hâkim  olması  hususunun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</w:tc>
      </w:tr>
      <w:tr w:rsidR="008E12C1" w:rsidRPr="00F55016" w:rsidTr="00B50117">
        <w:trPr>
          <w:trHeight w:val="1134"/>
        </w:trPr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B50117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personelin çeşitli eğitim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programlarına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katılımının</w:t>
            </w:r>
          </w:p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ağlanması </w:t>
            </w:r>
            <w:proofErr w:type="gramStart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suretiyle  mevzuata</w:t>
            </w:r>
            <w:proofErr w:type="gramEnd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0117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A465B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BF1A73" w:rsidRDefault="00BF1A73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41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Satın Alma Görevlisi</w:t>
            </w:r>
          </w:p>
          <w:p w:rsid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 Ders Görevlisi</w:t>
            </w:r>
          </w:p>
          <w:p w:rsidR="00B50117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İşletmeni</w:t>
            </w:r>
          </w:p>
          <w:p w:rsidR="00B50117" w:rsidRPr="00B50117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ATAHAN</w:t>
            </w: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772FA4" w:rsidRPr="00B50117" w:rsidRDefault="00772FA4" w:rsidP="0011685C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1.İlgili personelin çeşitli</w:t>
            </w:r>
            <w:r w:rsidR="008D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eğitim programlarına katılımının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sağlanması </w:t>
            </w: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suretiyle  mevzuata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72FA4" w:rsidRPr="00B50117" w:rsidRDefault="00586041" w:rsidP="00586041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C60C59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Maaş Mutemetliği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Ayniyat Görevlisi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SGK Giriş ve Çıkışlarının Yapılması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Yolluk Ücretleri Görevlisi</w:t>
            </w:r>
          </w:p>
          <w:p w:rsidR="00C60C59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C60C59" w:rsidRDefault="00C60C59" w:rsidP="00C60C59">
            <w:pPr>
              <w:ind w:left="108"/>
              <w:rPr>
                <w:sz w:val="16"/>
                <w:szCs w:val="16"/>
              </w:rPr>
            </w:pPr>
          </w:p>
          <w:p w:rsidR="00C60C59" w:rsidRDefault="00C60C59" w:rsidP="00C60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Bilgisayar İşletmeni </w:t>
            </w:r>
          </w:p>
          <w:p w:rsidR="00C60C59" w:rsidRDefault="00C60C59" w:rsidP="00C60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KARACA ÖZCAN</w:t>
            </w:r>
          </w:p>
        </w:tc>
        <w:tc>
          <w:tcPr>
            <w:tcW w:w="2410" w:type="dxa"/>
          </w:tcPr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İlgili  personelin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çeşitli  eğitim  programlarına  katılımının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  suretiyle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mevzuata  hâkim  olması  hususunun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0C59" w:rsidRPr="00B50117" w:rsidRDefault="00C60C59" w:rsidP="00C60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C60C59" w:rsidRPr="00B50117" w:rsidRDefault="00C60C59" w:rsidP="00C60C59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</w:tbl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FC" w:rsidRDefault="00CD5EFC" w:rsidP="005F7D25">
      <w:pPr>
        <w:spacing w:after="0" w:line="240" w:lineRule="auto"/>
      </w:pPr>
      <w:r>
        <w:separator/>
      </w:r>
    </w:p>
  </w:endnote>
  <w:endnote w:type="continuationSeparator" w:id="0">
    <w:p w:rsidR="00CD5EFC" w:rsidRDefault="00CD5EFC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FC" w:rsidRDefault="00CD5EFC" w:rsidP="005F7D25">
      <w:pPr>
        <w:spacing w:after="0" w:line="240" w:lineRule="auto"/>
      </w:pPr>
      <w:r>
        <w:separator/>
      </w:r>
    </w:p>
  </w:footnote>
  <w:footnote w:type="continuationSeparator" w:id="0">
    <w:p w:rsidR="00CD5EFC" w:rsidRDefault="00CD5EFC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C"/>
    <w:rsid w:val="000073B0"/>
    <w:rsid w:val="00093035"/>
    <w:rsid w:val="000A3A1F"/>
    <w:rsid w:val="000A5576"/>
    <w:rsid w:val="0011685C"/>
    <w:rsid w:val="00136302"/>
    <w:rsid w:val="00271BC1"/>
    <w:rsid w:val="002A3E85"/>
    <w:rsid w:val="00370041"/>
    <w:rsid w:val="003A2D5E"/>
    <w:rsid w:val="003F3B0B"/>
    <w:rsid w:val="003F6934"/>
    <w:rsid w:val="004116CD"/>
    <w:rsid w:val="004334CF"/>
    <w:rsid w:val="00497BE1"/>
    <w:rsid w:val="00520994"/>
    <w:rsid w:val="00541024"/>
    <w:rsid w:val="0055190D"/>
    <w:rsid w:val="00586041"/>
    <w:rsid w:val="005D6627"/>
    <w:rsid w:val="005F7D25"/>
    <w:rsid w:val="00615AB6"/>
    <w:rsid w:val="00617B82"/>
    <w:rsid w:val="0063522A"/>
    <w:rsid w:val="00687837"/>
    <w:rsid w:val="006C4A5C"/>
    <w:rsid w:val="006D176B"/>
    <w:rsid w:val="006D4E68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D4814"/>
    <w:rsid w:val="008E12C1"/>
    <w:rsid w:val="008E145B"/>
    <w:rsid w:val="00904DD3"/>
    <w:rsid w:val="009270CE"/>
    <w:rsid w:val="009279DE"/>
    <w:rsid w:val="009C4662"/>
    <w:rsid w:val="009E5362"/>
    <w:rsid w:val="00A03F1C"/>
    <w:rsid w:val="00A0592C"/>
    <w:rsid w:val="00A34402"/>
    <w:rsid w:val="00AA0196"/>
    <w:rsid w:val="00AA2ECC"/>
    <w:rsid w:val="00B04BF7"/>
    <w:rsid w:val="00B26717"/>
    <w:rsid w:val="00B50117"/>
    <w:rsid w:val="00B54D61"/>
    <w:rsid w:val="00B85B8C"/>
    <w:rsid w:val="00BC7AD0"/>
    <w:rsid w:val="00BF1A73"/>
    <w:rsid w:val="00BF35DF"/>
    <w:rsid w:val="00C0577E"/>
    <w:rsid w:val="00C13524"/>
    <w:rsid w:val="00C24B9F"/>
    <w:rsid w:val="00C43A64"/>
    <w:rsid w:val="00C60C59"/>
    <w:rsid w:val="00CA1315"/>
    <w:rsid w:val="00CB3936"/>
    <w:rsid w:val="00CD5C53"/>
    <w:rsid w:val="00CD5EFC"/>
    <w:rsid w:val="00CE52FD"/>
    <w:rsid w:val="00CF1545"/>
    <w:rsid w:val="00D36740"/>
    <w:rsid w:val="00D569CC"/>
    <w:rsid w:val="00D81321"/>
    <w:rsid w:val="00D95FB1"/>
    <w:rsid w:val="00DD4769"/>
    <w:rsid w:val="00E30B94"/>
    <w:rsid w:val="00E8578B"/>
    <w:rsid w:val="00E932AE"/>
    <w:rsid w:val="00EA70BC"/>
    <w:rsid w:val="00ED098E"/>
    <w:rsid w:val="00ED6D38"/>
    <w:rsid w:val="00F023BA"/>
    <w:rsid w:val="00F40199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B55C-9BCB-4DE2-A8A9-A176551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esat</cp:lastModifiedBy>
  <cp:revision>2</cp:revision>
  <cp:lastPrinted>2016-01-08T11:38:00Z</cp:lastPrinted>
  <dcterms:created xsi:type="dcterms:W3CDTF">2019-11-28T11:36:00Z</dcterms:created>
  <dcterms:modified xsi:type="dcterms:W3CDTF">2019-11-28T11:36:00Z</dcterms:modified>
</cp:coreProperties>
</file>